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4D17925C"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C13288">
        <w:rPr>
          <w:b/>
          <w:noProof/>
          <w:sz w:val="24"/>
        </w:rPr>
        <w:t>7</w:t>
      </w:r>
      <w:r w:rsidR="00FA789E">
        <w:rPr>
          <w:b/>
          <w:noProof/>
          <w:sz w:val="24"/>
        </w:rPr>
        <w:t>e</w:t>
      </w:r>
      <w:r w:rsidRPr="007A171D">
        <w:rPr>
          <w:b/>
          <w:noProof/>
          <w:sz w:val="24"/>
        </w:rPr>
        <w:tab/>
      </w:r>
      <w:r w:rsidR="001C06A4" w:rsidRPr="001C06A4">
        <w:rPr>
          <w:b/>
          <w:noProof/>
          <w:sz w:val="24"/>
        </w:rPr>
        <w:t>R4-2015346</w:t>
      </w:r>
      <w:bookmarkStart w:id="0" w:name="_GoBack"/>
      <w:bookmarkEnd w:id="0"/>
    </w:p>
    <w:p w14:paraId="0E3B9FE6" w14:textId="0CD481C9"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13288" w:rsidRPr="00C13288">
        <w:rPr>
          <w:rFonts w:eastAsia="宋体"/>
          <w:b/>
          <w:sz w:val="24"/>
          <w:szCs w:val="24"/>
          <w:lang w:eastAsia="zh-CN"/>
        </w:rPr>
        <w:t xml:space="preserve"> </w:t>
      </w:r>
      <w:r w:rsidR="00C13288">
        <w:rPr>
          <w:rFonts w:eastAsia="宋体"/>
          <w:b/>
          <w:sz w:val="24"/>
          <w:szCs w:val="24"/>
          <w:lang w:eastAsia="zh-CN"/>
        </w:rPr>
        <w:t>2</w:t>
      </w:r>
      <w:r w:rsidR="00C13288" w:rsidRPr="00BF1228">
        <w:rPr>
          <w:rFonts w:eastAsia="宋体"/>
          <w:b/>
          <w:sz w:val="24"/>
          <w:szCs w:val="24"/>
          <w:lang w:eastAsia="zh-CN"/>
        </w:rPr>
        <w:t>-</w:t>
      </w:r>
      <w:r w:rsidR="00C13288">
        <w:rPr>
          <w:rFonts w:eastAsia="宋体"/>
          <w:b/>
          <w:sz w:val="24"/>
          <w:szCs w:val="24"/>
          <w:lang w:eastAsia="zh-CN"/>
        </w:rPr>
        <w:t>13</w:t>
      </w:r>
      <w:r w:rsidR="00C13288" w:rsidRPr="00BF1228">
        <w:rPr>
          <w:rFonts w:eastAsia="宋体"/>
          <w:b/>
          <w:sz w:val="24"/>
          <w:szCs w:val="24"/>
          <w:lang w:eastAsia="zh-CN"/>
        </w:rPr>
        <w:t xml:space="preserve"> </w:t>
      </w:r>
      <w:r w:rsidR="00C13288">
        <w:rPr>
          <w:rFonts w:eastAsia="宋体"/>
          <w:b/>
          <w:sz w:val="24"/>
          <w:szCs w:val="24"/>
          <w:lang w:eastAsia="zh-CN"/>
        </w:rPr>
        <w:t>Nov</w:t>
      </w:r>
      <w:r w:rsidR="00C13288" w:rsidRPr="00BF1228">
        <w:rPr>
          <w:rFonts w:eastAsia="宋体"/>
          <w:b/>
          <w:sz w:val="24"/>
          <w:szCs w:val="24"/>
          <w:lang w:eastAsia="zh-CN"/>
        </w:rPr>
        <w:t>., 2020</w:t>
      </w:r>
    </w:p>
    <w:p w14:paraId="2071EA10" w14:textId="77777777" w:rsidR="00233E8F" w:rsidRPr="004D1211" w:rsidRDefault="00233E8F" w:rsidP="005B1EEE">
      <w:pPr>
        <w:tabs>
          <w:tab w:val="left" w:pos="2820"/>
        </w:tabs>
        <w:spacing w:after="120"/>
        <w:ind w:left="1985" w:hanging="1985"/>
        <w:rPr>
          <w:rFonts w:ascii="Arial" w:hAnsi="Arial" w:cs="Arial"/>
          <w:b/>
          <w:lang w:eastAsia="ko-KR"/>
        </w:rPr>
      </w:pPr>
    </w:p>
    <w:p w14:paraId="4D2D216F" w14:textId="0733E5EE"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7618A" w:rsidRPr="00E7618A">
        <w:rPr>
          <w:rFonts w:ascii="Arial" w:hAnsi="Arial" w:cs="Arial"/>
          <w:lang w:val="en-US"/>
        </w:rPr>
        <w:t>Discussion on inter-band CA HPUE SAR</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2FD6DC35"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973B37" w:rsidRPr="00973B37">
        <w:rPr>
          <w:rFonts w:ascii="Arial" w:hAnsi="Arial" w:cs="Arial"/>
          <w:lang w:val="en-US"/>
        </w:rPr>
        <w:t>10.18.2</w:t>
      </w:r>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6CD1C248" w14:textId="724E062D" w:rsidR="00D44FAD" w:rsidRDefault="00D44FAD" w:rsidP="00C559ED">
      <w:pPr>
        <w:jc w:val="both"/>
        <w:rPr>
          <w:rFonts w:eastAsia="宋体"/>
          <w:lang w:eastAsia="zh-CN"/>
        </w:rPr>
      </w:pPr>
      <w:r>
        <w:rPr>
          <w:rFonts w:eastAsia="宋体"/>
          <w:lang w:eastAsia="zh-CN"/>
        </w:rPr>
        <w:t xml:space="preserve">WI [1] was approved, in which </w:t>
      </w:r>
      <w:r w:rsidR="00DD6AE0">
        <w:rPr>
          <w:rFonts w:eastAsia="宋体"/>
          <w:lang w:eastAsia="zh-CN"/>
        </w:rPr>
        <w:t>inter-band CA</w:t>
      </w:r>
      <w:r>
        <w:rPr>
          <w:rFonts w:eastAsia="宋体"/>
          <w:lang w:eastAsia="zh-CN"/>
        </w:rPr>
        <w:t xml:space="preserve"> SAR issue is one of the topic.</w:t>
      </w:r>
      <w:r w:rsidR="00C559ED">
        <w:rPr>
          <w:rFonts w:eastAsia="宋体"/>
          <w:lang w:eastAsia="zh-CN"/>
        </w:rPr>
        <w:t xml:space="preserve"> Initial discussions happen in RAN4#96e, however, no conclusion was reached. </w:t>
      </w:r>
    </w:p>
    <w:p w14:paraId="2F1370A5" w14:textId="3A3FE9BD" w:rsidR="00950A2D" w:rsidRDefault="00BF4621" w:rsidP="00C559ED">
      <w:pPr>
        <w:jc w:val="both"/>
        <w:rPr>
          <w:rFonts w:eastAsia="宋体"/>
          <w:lang w:eastAsia="zh-CN"/>
        </w:rPr>
      </w:pPr>
      <w:r w:rsidRPr="002B190F">
        <w:rPr>
          <w:noProof/>
          <w:lang w:val="en-US" w:eastAsia="zh-CN"/>
        </w:rPr>
        <w:drawing>
          <wp:inline distT="0" distB="0" distL="0" distR="0" wp14:anchorId="25BC883A" wp14:editId="553ACAEA">
            <wp:extent cx="6181090" cy="1382395"/>
            <wp:effectExtent l="114300" t="95250" r="105410" b="1035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1090" cy="1382395"/>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30E03E23" w14:textId="77777777" w:rsidR="00BF4621" w:rsidRDefault="00BF4621" w:rsidP="00C559ED">
      <w:pPr>
        <w:jc w:val="both"/>
        <w:rPr>
          <w:rFonts w:eastAsia="宋体"/>
          <w:lang w:eastAsia="zh-CN"/>
        </w:rPr>
      </w:pPr>
    </w:p>
    <w:p w14:paraId="46172B68" w14:textId="364FD6E6" w:rsidR="00D90483" w:rsidRDefault="00D90483" w:rsidP="00D90483">
      <w:pPr>
        <w:jc w:val="both"/>
        <w:rPr>
          <w:rFonts w:eastAsia="宋体"/>
          <w:lang w:eastAsia="zh-CN"/>
        </w:rPr>
      </w:pPr>
      <w:r>
        <w:rPr>
          <w:rFonts w:eastAsia="宋体"/>
          <w:lang w:eastAsia="zh-CN"/>
        </w:rPr>
        <w:t>This paper continue discuss t</w:t>
      </w:r>
      <w:r w:rsidR="004634ED">
        <w:rPr>
          <w:rFonts w:eastAsia="宋体" w:hint="eastAsia"/>
          <w:lang w:eastAsia="zh-CN"/>
        </w:rPr>
        <w:t>h</w:t>
      </w:r>
      <w:r w:rsidR="004634ED">
        <w:rPr>
          <w:rFonts w:eastAsia="宋体"/>
          <w:lang w:eastAsia="zh-CN"/>
        </w:rPr>
        <w:t>is aspect</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76B4B356" w14:textId="2E40B7CC" w:rsidR="00DD6AE0" w:rsidRDefault="00DD6AE0" w:rsidP="00DD6AE0">
      <w:pPr>
        <w:jc w:val="both"/>
      </w:pPr>
      <w:r>
        <w:rPr>
          <w:rFonts w:eastAsia="宋体"/>
          <w:lang w:eastAsia="zh-CN"/>
        </w:rPr>
        <w:t xml:space="preserve">In [2], it pointed out that </w:t>
      </w:r>
      <w:r w:rsidRPr="00DD6AE0">
        <w:rPr>
          <w:rFonts w:eastAsia="宋体"/>
          <w:lang w:eastAsia="zh-CN"/>
        </w:rPr>
        <w:t xml:space="preserve">for EN-DC combinations, E-UTRA is MCG and </w:t>
      </w:r>
      <w:r>
        <w:rPr>
          <w:rFonts w:eastAsia="宋体"/>
          <w:lang w:eastAsia="zh-CN"/>
        </w:rPr>
        <w:t>is</w:t>
      </w:r>
      <w:r w:rsidRPr="00DD6AE0">
        <w:rPr>
          <w:rFonts w:eastAsia="宋体"/>
          <w:lang w:eastAsia="zh-CN"/>
        </w:rPr>
        <w:t xml:space="preserve"> prioritized</w:t>
      </w:r>
      <w:r>
        <w:rPr>
          <w:rFonts w:eastAsia="宋体"/>
          <w:lang w:eastAsia="zh-CN"/>
        </w:rPr>
        <w:t xml:space="preserve"> so t</w:t>
      </w:r>
      <w:r w:rsidRPr="00DD6AE0">
        <w:rPr>
          <w:rFonts w:eastAsia="宋体"/>
          <w:lang w:eastAsia="zh-CN"/>
        </w:rPr>
        <w:t>he duty cycle solution is report</w:t>
      </w:r>
      <w:r>
        <w:rPr>
          <w:rFonts w:eastAsia="宋体"/>
          <w:lang w:eastAsia="zh-CN"/>
        </w:rPr>
        <w:t>ing</w:t>
      </w:r>
      <w:r w:rsidRPr="00DD6AE0">
        <w:rPr>
          <w:rFonts w:eastAsia="宋体"/>
          <w:lang w:eastAsia="zh-CN"/>
        </w:rPr>
        <w:t xml:space="preserve"> SCG’s duty cycle according to MCG’s duty cycle. </w:t>
      </w:r>
      <w:r>
        <w:rPr>
          <w:rFonts w:eastAsia="宋体"/>
          <w:lang w:eastAsia="zh-CN"/>
        </w:rPr>
        <w:t>And f</w:t>
      </w:r>
      <w:r w:rsidRPr="00DD6AE0">
        <w:rPr>
          <w:rFonts w:eastAsia="宋体"/>
          <w:lang w:eastAsia="zh-CN"/>
        </w:rPr>
        <w:t xml:space="preserve">or inter-band 2UL CA, </w:t>
      </w:r>
      <w:r>
        <w:rPr>
          <w:rFonts w:hint="eastAsia"/>
        </w:rPr>
        <w:t xml:space="preserve">PCC/SCC </w:t>
      </w:r>
      <w:r>
        <w:t>configuration</w:t>
      </w:r>
      <w:r>
        <w:rPr>
          <w:rFonts w:hint="eastAsia"/>
        </w:rPr>
        <w:t xml:space="preserve"> is UE specific</w:t>
      </w:r>
      <w:r w:rsidR="00470A92">
        <w:t xml:space="preserve"> rather than fixed prioritization. Therefore, a</w:t>
      </w:r>
      <w:r w:rsidR="00470A92">
        <w:rPr>
          <w:rFonts w:hint="eastAsia"/>
        </w:rPr>
        <w:t xml:space="preserve"> solution </w:t>
      </w:r>
      <w:r w:rsidR="00470A92">
        <w:t>for inter-band UL CA</w:t>
      </w:r>
      <w:r w:rsidR="00470A92">
        <w:rPr>
          <w:rFonts w:hint="eastAsia"/>
        </w:rPr>
        <w:t xml:space="preserve"> is </w:t>
      </w:r>
      <w:r w:rsidR="00470A92">
        <w:t xml:space="preserve">proposed in [2] is </w:t>
      </w:r>
      <w:r w:rsidR="00470A92">
        <w:rPr>
          <w:rFonts w:hint="eastAsia"/>
        </w:rPr>
        <w:t xml:space="preserve">that </w:t>
      </w:r>
      <w:r w:rsidR="00470A92">
        <w:t>each</w:t>
      </w:r>
      <w:r w:rsidR="00470A92">
        <w:rPr>
          <w:rFonts w:hint="eastAsia"/>
        </w:rPr>
        <w:t xml:space="preserve"> carrier report UL duty cycle capability according to the other carrier</w:t>
      </w:r>
      <w:r w:rsidR="00470A92">
        <w:t>’</w:t>
      </w:r>
      <w:r w:rsidR="00470A92">
        <w:rPr>
          <w:rFonts w:hint="eastAsia"/>
        </w:rPr>
        <w:t xml:space="preserve">s </w:t>
      </w:r>
      <w:r w:rsidR="00470A92">
        <w:t>configuration</w:t>
      </w:r>
      <w:r w:rsidR="00470A92">
        <w:rPr>
          <w:rFonts w:hint="eastAsia"/>
        </w:rPr>
        <w:t>.</w:t>
      </w:r>
    </w:p>
    <w:p w14:paraId="03D7D7D1" w14:textId="0A7F2414" w:rsidR="00470A92" w:rsidRDefault="00470A92" w:rsidP="00DD6AE0">
      <w:pPr>
        <w:jc w:val="both"/>
      </w:pPr>
    </w:p>
    <w:p w14:paraId="4A97BAC1" w14:textId="36B70E08" w:rsidR="00470A92" w:rsidRDefault="00F60B0B" w:rsidP="00DD6AE0">
      <w:pPr>
        <w:jc w:val="both"/>
      </w:pPr>
      <w:r>
        <w:t>Following</w:t>
      </w:r>
      <w:r w:rsidR="00461B05">
        <w:t xml:space="preserve"> the approach</w:t>
      </w:r>
      <w:r w:rsidR="00470A92">
        <w:t xml:space="preserve">, </w:t>
      </w:r>
      <w:r>
        <w:t>UE reports a group of</w:t>
      </w:r>
      <w:r w:rsidR="00470A92">
        <w:t xml:space="preserve"> combined capabilit</w:t>
      </w:r>
      <w:r>
        <w:t xml:space="preserve">ies for Band X + Band Y, as </w:t>
      </w:r>
      <w:r w:rsidR="00826B8F">
        <w:t>below:</w:t>
      </w:r>
    </w:p>
    <w:p w14:paraId="111DD4B2" w14:textId="407567A9" w:rsidR="00C013DA" w:rsidRDefault="00C013DA" w:rsidP="00DD6AE0">
      <w:pPr>
        <w:jc w:val="both"/>
      </w:pPr>
    </w:p>
    <w:tbl>
      <w:tblPr>
        <w:tblStyle w:val="ab"/>
        <w:tblW w:w="0" w:type="auto"/>
        <w:tblLook w:val="04A0" w:firstRow="1" w:lastRow="0" w:firstColumn="1" w:lastColumn="0" w:noHBand="0" w:noVBand="1"/>
      </w:tblPr>
      <w:tblGrid>
        <w:gridCol w:w="9855"/>
      </w:tblGrid>
      <w:tr w:rsidR="00C013DA" w14:paraId="29EF4F91" w14:textId="77777777" w:rsidTr="00C013DA">
        <w:tc>
          <w:tcPr>
            <w:tcW w:w="9855" w:type="dxa"/>
          </w:tcPr>
          <w:p w14:paraId="79FC3E38" w14:textId="77777777" w:rsidR="00C013DA" w:rsidRDefault="00C013DA" w:rsidP="00C013DA">
            <w:pPr>
              <w:pStyle w:val="af5"/>
              <w:numPr>
                <w:ilvl w:val="0"/>
                <w:numId w:val="19"/>
              </w:numPr>
              <w:ind w:leftChars="0"/>
              <w:rPr>
                <w:rFonts w:ascii="Times New Roman" w:hAnsi="Times New Roman"/>
                <w:kern w:val="0"/>
                <w:szCs w:val="20"/>
                <w:lang w:val="en-GB" w:eastAsia="en-US"/>
              </w:rPr>
            </w:pPr>
            <w:r w:rsidRPr="00F60B0B">
              <w:rPr>
                <w:rFonts w:ascii="Times New Roman" w:hAnsi="Times New Roman"/>
                <w:kern w:val="0"/>
                <w:szCs w:val="20"/>
                <w:lang w:val="en-GB" w:eastAsia="en-US"/>
              </w:rPr>
              <w:t>UE reports (</w:t>
            </w:r>
            <w:r>
              <w:rPr>
                <w:rFonts w:ascii="Times New Roman" w:hAnsi="Times New Roman"/>
                <w:kern w:val="0"/>
                <w:szCs w:val="20"/>
                <w:lang w:val="en-GB" w:eastAsia="en-US"/>
              </w:rPr>
              <w:t>X1</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Pr="00F60B0B">
              <w:rPr>
                <w:rFonts w:ascii="Times New Roman" w:hAnsi="Times New Roman"/>
                <w:kern w:val="0"/>
                <w:szCs w:val="20"/>
                <w:lang w:val="en-GB" w:eastAsia="en-US"/>
              </w:rPr>
              <w:t>1%), (</w:t>
            </w:r>
            <w:r>
              <w:rPr>
                <w:rFonts w:ascii="Times New Roman" w:hAnsi="Times New Roman"/>
                <w:kern w:val="0"/>
                <w:szCs w:val="20"/>
                <w:lang w:val="en-GB" w:eastAsia="en-US"/>
              </w:rPr>
              <w:t>X2</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Pr="00F60B0B">
              <w:rPr>
                <w:rFonts w:ascii="Times New Roman" w:hAnsi="Times New Roman"/>
                <w:kern w:val="0"/>
                <w:szCs w:val="20"/>
                <w:lang w:val="en-GB" w:eastAsia="en-US"/>
              </w:rPr>
              <w:t>2%), (</w:t>
            </w:r>
            <w:r>
              <w:rPr>
                <w:rFonts w:ascii="Times New Roman" w:hAnsi="Times New Roman"/>
                <w:kern w:val="0"/>
                <w:szCs w:val="20"/>
                <w:lang w:val="en-GB" w:eastAsia="en-US"/>
              </w:rPr>
              <w:t>X3</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Pr="00F60B0B">
              <w:rPr>
                <w:rFonts w:ascii="Times New Roman" w:hAnsi="Times New Roman"/>
                <w:kern w:val="0"/>
                <w:szCs w:val="20"/>
                <w:lang w:val="en-GB" w:eastAsia="en-US"/>
              </w:rPr>
              <w:t>3%)…, (</w:t>
            </w:r>
            <w:r>
              <w:rPr>
                <w:rFonts w:ascii="Times New Roman" w:hAnsi="Times New Roman"/>
                <w:kern w:val="0"/>
                <w:szCs w:val="20"/>
                <w:lang w:val="en-GB" w:eastAsia="en-US"/>
              </w:rPr>
              <w:t>Xn</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Yn</w:t>
            </w:r>
            <w:r w:rsidRPr="00F60B0B">
              <w:rPr>
                <w:rFonts w:ascii="Times New Roman" w:hAnsi="Times New Roman"/>
                <w:kern w:val="0"/>
                <w:szCs w:val="20"/>
                <w:lang w:val="en-GB" w:eastAsia="en-US"/>
              </w:rPr>
              <w:t>%)</w:t>
            </w:r>
            <w:r>
              <w:rPr>
                <w:rFonts w:ascii="Times New Roman" w:hAnsi="Times New Roman"/>
                <w:kern w:val="0"/>
                <w:szCs w:val="20"/>
                <w:lang w:val="en-GB" w:eastAsia="en-US"/>
              </w:rPr>
              <w:t>…, in which X1&lt;X2&lt;X3…&lt;Xn…;</w:t>
            </w:r>
          </w:p>
          <w:p w14:paraId="5CEBE23A" w14:textId="77777777" w:rsidR="00C013DA" w:rsidRDefault="00C013DA" w:rsidP="00C013DA">
            <w:pPr>
              <w:pStyle w:val="af5"/>
              <w:ind w:leftChars="0" w:left="420"/>
              <w:jc w:val="left"/>
              <w:rPr>
                <w:rFonts w:ascii="Times New Roman" w:hAnsi="Times New Roman"/>
                <w:kern w:val="0"/>
                <w:szCs w:val="20"/>
                <w:lang w:val="en-GB" w:eastAsia="en-US"/>
              </w:rPr>
            </w:pPr>
          </w:p>
          <w:p w14:paraId="6052BCE2" w14:textId="77777777" w:rsidR="00C013DA" w:rsidRDefault="00C013DA" w:rsidP="00C013DA">
            <w:pPr>
              <w:pStyle w:val="af5"/>
              <w:numPr>
                <w:ilvl w:val="0"/>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When Band X is the PCC</w:t>
            </w:r>
          </w:p>
          <w:p w14:paraId="612526EE" w14:textId="77777777"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The scheduled duty cycle for Band X is between Xn-1% and Xn%</w:t>
            </w:r>
          </w:p>
          <w:p w14:paraId="695369D3" w14:textId="77777777"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 xml:space="preserve">Then capability (Xn%, Yn%) is taken. </w:t>
            </w:r>
          </w:p>
          <w:p w14:paraId="400FBD09" w14:textId="77777777" w:rsidR="00C013DA" w:rsidRPr="00F60B0B"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Only when the scheduled duty cycle on Band Y is below Yn% then the PC2 is applied.</w:t>
            </w:r>
          </w:p>
          <w:p w14:paraId="36D3E600" w14:textId="77777777" w:rsidR="00C013DA" w:rsidRDefault="00C013DA" w:rsidP="00C013DA">
            <w:pPr>
              <w:pStyle w:val="af5"/>
              <w:ind w:leftChars="0" w:left="420"/>
              <w:jc w:val="left"/>
              <w:rPr>
                <w:rFonts w:ascii="Times New Roman" w:hAnsi="Times New Roman"/>
                <w:kern w:val="0"/>
                <w:szCs w:val="20"/>
                <w:lang w:val="en-GB" w:eastAsia="en-US"/>
              </w:rPr>
            </w:pPr>
          </w:p>
          <w:p w14:paraId="7A2B5EC5" w14:textId="77777777" w:rsidR="00C013DA" w:rsidRDefault="00C013DA" w:rsidP="00C013DA">
            <w:pPr>
              <w:pStyle w:val="af5"/>
              <w:numPr>
                <w:ilvl w:val="0"/>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When Band Y is the PCC</w:t>
            </w:r>
          </w:p>
          <w:p w14:paraId="6CDFA46C" w14:textId="77777777"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The scheduled duty cycle for Band Y is between Yn-1% and Yn%</w:t>
            </w:r>
          </w:p>
          <w:p w14:paraId="5AB3C2FC" w14:textId="77777777"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 xml:space="preserve">Then capability (Xn-1%, Yn-1%) is taken. </w:t>
            </w:r>
          </w:p>
          <w:p w14:paraId="7B593FBE" w14:textId="6446D02A" w:rsidR="00C013DA" w:rsidRP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Only when the scheduled duty cycle on Band X is below Xn-1% then the PC2 is applied.</w:t>
            </w:r>
          </w:p>
        </w:tc>
      </w:tr>
    </w:tbl>
    <w:p w14:paraId="7316A4AB" w14:textId="77777777" w:rsidR="00C013DA" w:rsidRDefault="00C013DA" w:rsidP="00DD6AE0">
      <w:pPr>
        <w:jc w:val="both"/>
      </w:pPr>
    </w:p>
    <w:p w14:paraId="62A7F508" w14:textId="42815831" w:rsidR="00826B8F" w:rsidRPr="00375F0D" w:rsidRDefault="00375F0D" w:rsidP="00DD6AE0">
      <w:pPr>
        <w:jc w:val="both"/>
        <w:rPr>
          <w:rFonts w:eastAsiaTheme="minorEastAsia"/>
          <w:lang w:eastAsia="zh-CN"/>
        </w:rPr>
      </w:pPr>
      <w:r>
        <w:rPr>
          <w:rFonts w:eastAsiaTheme="minorEastAsia" w:hint="eastAsia"/>
          <w:lang w:eastAsia="zh-CN"/>
        </w:rPr>
        <w:t>F</w:t>
      </w:r>
      <w:r>
        <w:rPr>
          <w:rFonts w:eastAsiaTheme="minorEastAsia"/>
          <w:lang w:eastAsia="zh-CN"/>
        </w:rPr>
        <w:t>rom above example it seems the solution is doable.</w:t>
      </w:r>
    </w:p>
    <w:p w14:paraId="5C41E66A" w14:textId="60FDBBEF" w:rsidR="00826B8F" w:rsidRDefault="00826B8F" w:rsidP="00DD6AE0">
      <w:pPr>
        <w:jc w:val="both"/>
        <w:rPr>
          <w:rFonts w:eastAsia="宋体"/>
          <w:lang w:eastAsia="zh-CN"/>
        </w:rPr>
      </w:pPr>
    </w:p>
    <w:p w14:paraId="0BFE45CB" w14:textId="34C8261C" w:rsidR="00EA0CAE" w:rsidRDefault="00EA0CAE" w:rsidP="00D90483">
      <w:pPr>
        <w:jc w:val="both"/>
        <w:rPr>
          <w:rFonts w:eastAsia="宋体"/>
          <w:lang w:eastAsia="zh-CN"/>
        </w:rPr>
      </w:pPr>
    </w:p>
    <w:p w14:paraId="0301A764" w14:textId="71E3B9FB" w:rsidR="00EA0CAE" w:rsidRDefault="00EA0CAE" w:rsidP="00EA0CA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w:t>
      </w:r>
      <w:r w:rsidR="00375F0D">
        <w:rPr>
          <w:rFonts w:eastAsia="等线"/>
          <w:b/>
          <w:i/>
          <w:lang w:val="en-US" w:eastAsia="zh-CN"/>
        </w:rPr>
        <w:t xml:space="preserve">combined Band X </w:t>
      </w:r>
      <w:r w:rsidR="00375F0D">
        <w:rPr>
          <w:rFonts w:eastAsia="等线" w:hint="eastAsia"/>
          <w:b/>
          <w:i/>
          <w:lang w:val="en-US" w:eastAsia="zh-CN"/>
        </w:rPr>
        <w:t>+</w:t>
      </w:r>
      <w:r w:rsidR="00375F0D">
        <w:rPr>
          <w:rFonts w:eastAsia="等线"/>
          <w:b/>
          <w:i/>
          <w:lang w:val="en-US" w:eastAsia="zh-CN"/>
        </w:rPr>
        <w:t xml:space="preserve">Band Y duty cycle capability is a possible way for inter-band UL CA HPUE </w:t>
      </w:r>
      <w:r>
        <w:rPr>
          <w:rFonts w:eastAsia="等线"/>
          <w:b/>
          <w:i/>
          <w:lang w:val="en-US" w:eastAsia="zh-CN"/>
        </w:rPr>
        <w:t>SAR issues.</w:t>
      </w:r>
    </w:p>
    <w:p w14:paraId="7940ABDB" w14:textId="10CC618C" w:rsidR="00332B5D" w:rsidRDefault="00332B5D" w:rsidP="00D90483">
      <w:pPr>
        <w:jc w:val="both"/>
        <w:rPr>
          <w:rFonts w:eastAsia="宋体"/>
          <w:lang w:eastAsia="zh-CN"/>
        </w:rPr>
      </w:pPr>
    </w:p>
    <w:p w14:paraId="4C81492A" w14:textId="4BEA88B9" w:rsidR="00375F0D" w:rsidRDefault="00375F0D" w:rsidP="00375F0D">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consider reporting a group of combined maxUplinkdutycycle capabilities for inter-band UL CA</w:t>
      </w:r>
      <w:r w:rsidR="000B21AD">
        <w:rPr>
          <w:rFonts w:eastAsia="等线"/>
          <w:b/>
          <w:i/>
          <w:lang w:val="en-US" w:eastAsia="zh-CN"/>
        </w:rPr>
        <w:t xml:space="preserve"> HPUE SAR issue</w:t>
      </w:r>
      <w:r>
        <w:rPr>
          <w:rFonts w:eastAsia="等线"/>
          <w:b/>
          <w:i/>
          <w:lang w:val="en-US" w:eastAsia="zh-CN"/>
        </w:rPr>
        <w:t>.</w:t>
      </w:r>
    </w:p>
    <w:p w14:paraId="66B8BB96" w14:textId="77777777" w:rsidR="000B21AD" w:rsidRDefault="000B21AD" w:rsidP="00375F0D">
      <w:pPr>
        <w:ind w:left="1418" w:hangingChars="709" w:hanging="1418"/>
        <w:rPr>
          <w:rFonts w:eastAsia="等线"/>
          <w:b/>
          <w:i/>
          <w:lang w:val="en-US" w:eastAsia="zh-CN"/>
        </w:rPr>
      </w:pPr>
    </w:p>
    <w:p w14:paraId="0BC6F30E" w14:textId="77777777" w:rsidR="00375F0D" w:rsidRPr="00375F0D" w:rsidRDefault="00375F0D" w:rsidP="00D90483">
      <w:pPr>
        <w:jc w:val="both"/>
        <w:rPr>
          <w:rFonts w:eastAsia="宋体"/>
          <w:lang w:val="en-US"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Conclusion</w:t>
      </w:r>
    </w:p>
    <w:p w14:paraId="66BEC827" w14:textId="77777777" w:rsidR="00220C1E" w:rsidRDefault="00220C1E" w:rsidP="002A0028">
      <w:pPr>
        <w:tabs>
          <w:tab w:val="left" w:pos="5103"/>
        </w:tabs>
        <w:spacing w:after="120"/>
        <w:rPr>
          <w:rFonts w:eastAsia="等线"/>
          <w:lang w:val="en-US" w:eastAsia="zh-CN"/>
        </w:rPr>
      </w:pPr>
    </w:p>
    <w:p w14:paraId="2A88B63B" w14:textId="77777777" w:rsidR="000B21AD" w:rsidRDefault="000B21AD" w:rsidP="000B21A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w:t>
      </w:r>
      <w:r>
        <w:rPr>
          <w:rFonts w:eastAsia="等线"/>
          <w:b/>
          <w:i/>
          <w:lang w:val="en-US" w:eastAsia="zh-CN"/>
        </w:rPr>
        <w:t xml:space="preserve">combined Band X </w:t>
      </w:r>
      <w:r>
        <w:rPr>
          <w:rFonts w:eastAsia="等线" w:hint="eastAsia"/>
          <w:b/>
          <w:i/>
          <w:lang w:val="en-US" w:eastAsia="zh-CN"/>
        </w:rPr>
        <w:t>+</w:t>
      </w:r>
      <w:r>
        <w:rPr>
          <w:rFonts w:eastAsia="等线"/>
          <w:b/>
          <w:i/>
          <w:lang w:val="en-US" w:eastAsia="zh-CN"/>
        </w:rPr>
        <w:t>Band Y duty cycle capability is a possible way for inter-band UL CA HPUE SAR issues.</w:t>
      </w:r>
    </w:p>
    <w:p w14:paraId="59C3CDD9" w14:textId="77777777" w:rsidR="000B21AD" w:rsidRDefault="000B21AD" w:rsidP="000B21AD">
      <w:pPr>
        <w:jc w:val="both"/>
        <w:rPr>
          <w:rFonts w:eastAsia="宋体"/>
          <w:lang w:eastAsia="zh-CN"/>
        </w:rPr>
      </w:pPr>
    </w:p>
    <w:p w14:paraId="47BCE48F" w14:textId="77777777" w:rsidR="000B21AD" w:rsidRDefault="000B21AD" w:rsidP="000B21AD">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consider reporting a group of combined maxUplinkdutycycle capabilities for inter-band UL CA HPUE SAR issue.</w:t>
      </w:r>
    </w:p>
    <w:p w14:paraId="6670EC5F" w14:textId="1528EB3B" w:rsidR="00381F74" w:rsidRPr="000B21AD" w:rsidRDefault="00381F74" w:rsidP="00A2792D">
      <w:pPr>
        <w:ind w:left="1418" w:hangingChars="709" w:hanging="1418"/>
        <w:jc w:val="both"/>
        <w:rPr>
          <w:rFonts w:eastAsia="等线"/>
          <w:b/>
          <w:i/>
          <w:lang w:val="en-US" w:eastAsia="zh-CN"/>
        </w:rPr>
      </w:pPr>
    </w:p>
    <w:p w14:paraId="5DD4ED6E" w14:textId="4CA57B3D" w:rsidR="00381F74" w:rsidRDefault="00381F74" w:rsidP="00A2792D">
      <w:pPr>
        <w:ind w:left="1418" w:hangingChars="709" w:hanging="1418"/>
        <w:jc w:val="both"/>
        <w:rPr>
          <w:rFonts w:eastAsia="等线"/>
          <w:b/>
          <w:i/>
          <w:lang w:val="en-US" w:eastAsia="zh-CN"/>
        </w:rPr>
      </w:pPr>
    </w:p>
    <w:p w14:paraId="0375AAAE" w14:textId="425B559F" w:rsidR="00381F74" w:rsidRPr="00C559ED" w:rsidRDefault="00381F74" w:rsidP="00C559ED">
      <w:pPr>
        <w:pStyle w:val="afd"/>
        <w:spacing w:before="100" w:beforeAutospacing="1" w:after="0" w:line="276" w:lineRule="auto"/>
        <w:jc w:val="left"/>
        <w:rPr>
          <w:rFonts w:ascii="Times New Roman" w:eastAsia="华文楷体" w:hAnsi="Times New Roman"/>
          <w:bCs w:val="0"/>
          <w:sz w:val="28"/>
          <w:szCs w:val="28"/>
        </w:rPr>
      </w:pPr>
      <w:r w:rsidRPr="00C559ED">
        <w:rPr>
          <w:rFonts w:ascii="Times New Roman" w:eastAsia="华文楷体" w:hAnsi="Times New Roman" w:hint="eastAsia"/>
          <w:bCs w:val="0"/>
          <w:sz w:val="28"/>
          <w:szCs w:val="28"/>
        </w:rPr>
        <w:t>Ref</w:t>
      </w:r>
      <w:r w:rsidRPr="00C559ED">
        <w:rPr>
          <w:rFonts w:ascii="Times New Roman" w:eastAsia="华文楷体" w:hAnsi="Times New Roman"/>
          <w:bCs w:val="0"/>
          <w:sz w:val="28"/>
          <w:szCs w:val="28"/>
        </w:rPr>
        <w:t>erence</w:t>
      </w:r>
    </w:p>
    <w:p w14:paraId="44F08B3B" w14:textId="77777777" w:rsidR="00381F74" w:rsidRDefault="00381F74" w:rsidP="00A2792D">
      <w:pPr>
        <w:ind w:left="1418" w:hangingChars="709" w:hanging="1418"/>
        <w:jc w:val="both"/>
        <w:rPr>
          <w:rFonts w:eastAsia="等线"/>
          <w:b/>
          <w:i/>
          <w:lang w:val="en-US" w:eastAsia="zh-CN"/>
        </w:rPr>
      </w:pPr>
    </w:p>
    <w:p w14:paraId="6BAF3B83" w14:textId="796A97C3" w:rsidR="00381F74" w:rsidRDefault="00381F74" w:rsidP="00A2792D">
      <w:pPr>
        <w:ind w:left="1418" w:hangingChars="709" w:hanging="1418"/>
        <w:jc w:val="both"/>
        <w:rPr>
          <w:rFonts w:eastAsia="等线"/>
          <w:lang w:val="en-US" w:eastAsia="zh-CN"/>
        </w:rPr>
      </w:pPr>
      <w:r w:rsidRPr="00381F74">
        <w:rPr>
          <w:rFonts w:eastAsia="等线"/>
          <w:lang w:val="en-US" w:eastAsia="zh-CN"/>
        </w:rPr>
        <w:t>[1] R4-2011789</w:t>
      </w:r>
      <w:r>
        <w:rPr>
          <w:rFonts w:eastAsia="等线"/>
          <w:lang w:val="en-US" w:eastAsia="zh-CN"/>
        </w:rPr>
        <w:t xml:space="preserve">, </w:t>
      </w:r>
      <w:r w:rsidRPr="00381F74">
        <w:rPr>
          <w:rFonts w:eastAsia="等线"/>
          <w:lang w:val="en-US" w:eastAsia="zh-CN"/>
        </w:rPr>
        <w:t>WF on UE PC2 for NR inter-band CA and SUL configurations</w:t>
      </w:r>
      <w:r>
        <w:rPr>
          <w:rFonts w:eastAsia="等线"/>
          <w:lang w:val="en-US" w:eastAsia="zh-CN"/>
        </w:rPr>
        <w:t xml:space="preserve">, </w:t>
      </w:r>
      <w:r w:rsidRPr="00381F74">
        <w:rPr>
          <w:rFonts w:eastAsia="等线"/>
          <w:lang w:val="en-US" w:eastAsia="zh-CN"/>
        </w:rPr>
        <w:t>China Telecom</w:t>
      </w:r>
    </w:p>
    <w:p w14:paraId="094D14CC" w14:textId="76CBF341" w:rsidR="00C559ED" w:rsidRPr="00381F74" w:rsidRDefault="00C559ED" w:rsidP="00A2792D">
      <w:pPr>
        <w:ind w:left="1418" w:hangingChars="709" w:hanging="1418"/>
        <w:jc w:val="both"/>
        <w:rPr>
          <w:rFonts w:eastAsia="等线"/>
          <w:lang w:val="en-US" w:eastAsia="zh-CN"/>
        </w:rPr>
      </w:pPr>
      <w:r>
        <w:rPr>
          <w:rFonts w:eastAsia="等线"/>
          <w:lang w:val="en-US" w:eastAsia="zh-CN"/>
        </w:rPr>
        <w:t xml:space="preserve">[2] </w:t>
      </w:r>
      <w:r w:rsidR="00DD6AE0" w:rsidRPr="00DD6AE0">
        <w:rPr>
          <w:rFonts w:eastAsia="等线"/>
          <w:lang w:val="en-US" w:eastAsia="zh-CN"/>
        </w:rPr>
        <w:t>R4-2009796</w:t>
      </w:r>
      <w:r>
        <w:rPr>
          <w:rFonts w:eastAsia="等线"/>
          <w:lang w:val="en-US" w:eastAsia="zh-CN"/>
        </w:rPr>
        <w:t xml:space="preserve">, </w:t>
      </w:r>
      <w:r w:rsidR="00DD6AE0" w:rsidRPr="00DD6AE0">
        <w:rPr>
          <w:rFonts w:eastAsia="等线"/>
          <w:lang w:val="en-US" w:eastAsia="zh-CN"/>
        </w:rPr>
        <w:t>Discussion on SAR solution for interband PC2 2UL CA</w:t>
      </w:r>
      <w:r>
        <w:rPr>
          <w:rFonts w:eastAsia="等线"/>
          <w:lang w:val="en-US" w:eastAsia="zh-CN"/>
        </w:rPr>
        <w:t xml:space="preserve">, </w:t>
      </w:r>
      <w:r w:rsidR="00DD6AE0">
        <w:rPr>
          <w:rFonts w:eastAsia="等线"/>
          <w:lang w:val="en-US" w:eastAsia="zh-CN"/>
        </w:rPr>
        <w:t>CATT</w:t>
      </w:r>
    </w:p>
    <w:sectPr w:rsidR="00C559ED" w:rsidRPr="00381F7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9972A" w14:textId="77777777" w:rsidR="008E5C47" w:rsidRDefault="008E5C47">
      <w:r>
        <w:separator/>
      </w:r>
    </w:p>
  </w:endnote>
  <w:endnote w:type="continuationSeparator" w:id="0">
    <w:p w14:paraId="6A376D76" w14:textId="77777777" w:rsidR="008E5C47" w:rsidRDefault="008E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246C0" w14:textId="77777777" w:rsidR="008E5C47" w:rsidRDefault="008E5C47">
      <w:r>
        <w:separator/>
      </w:r>
    </w:p>
  </w:footnote>
  <w:footnote w:type="continuationSeparator" w:id="0">
    <w:p w14:paraId="57D08191" w14:textId="77777777" w:rsidR="008E5C47" w:rsidRDefault="008E5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8"/>
  </w:num>
  <w:num w:numId="4">
    <w:abstractNumId w:val="10"/>
  </w:num>
  <w:num w:numId="5">
    <w:abstractNumId w:val="13"/>
  </w:num>
  <w:num w:numId="6">
    <w:abstractNumId w:val="8"/>
  </w:num>
  <w:num w:numId="7">
    <w:abstractNumId w:val="16"/>
  </w:num>
  <w:num w:numId="8">
    <w:abstractNumId w:val="6"/>
  </w:num>
  <w:num w:numId="9">
    <w:abstractNumId w:val="2"/>
  </w:num>
  <w:num w:numId="10">
    <w:abstractNumId w:val="15"/>
  </w:num>
  <w:num w:numId="11">
    <w:abstractNumId w:val="17"/>
  </w:num>
  <w:num w:numId="12">
    <w:abstractNumId w:val="5"/>
  </w:num>
  <w:num w:numId="13">
    <w:abstractNumId w:val="0"/>
  </w:num>
  <w:num w:numId="14">
    <w:abstractNumId w:val="14"/>
  </w:num>
  <w:num w:numId="15">
    <w:abstractNumId w:val="4"/>
  </w:num>
  <w:num w:numId="16">
    <w:abstractNumId w:val="1"/>
  </w:num>
  <w:num w:numId="17">
    <w:abstractNumId w:val="7"/>
  </w:num>
  <w:num w:numId="18">
    <w:abstractNumId w:val="3"/>
  </w:num>
  <w:num w:numId="1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06A4"/>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18"/>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FA7"/>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AD"/>
    <w:rsid w:val="00562776"/>
    <w:rsid w:val="00562ABE"/>
    <w:rsid w:val="00562ED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4902"/>
    <w:rsid w:val="008B4A95"/>
    <w:rsid w:val="008B51C7"/>
    <w:rsid w:val="008B534A"/>
    <w:rsid w:val="008B548B"/>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0F58"/>
    <w:rsid w:val="008E1249"/>
    <w:rsid w:val="008E1410"/>
    <w:rsid w:val="008E18FF"/>
    <w:rsid w:val="008E30F2"/>
    <w:rsid w:val="008E32D3"/>
    <w:rsid w:val="008E3F15"/>
    <w:rsid w:val="008E4257"/>
    <w:rsid w:val="008E4BA9"/>
    <w:rsid w:val="008E5285"/>
    <w:rsid w:val="008E5750"/>
    <w:rsid w:val="008E5C47"/>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046"/>
    <w:rsid w:val="009351C1"/>
    <w:rsid w:val="00935532"/>
    <w:rsid w:val="0093580D"/>
    <w:rsid w:val="00935CBF"/>
    <w:rsid w:val="00935DFB"/>
    <w:rsid w:val="00936370"/>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3B37"/>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2D90"/>
    <w:rsid w:val="00B030E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13AE4-2F52-4F72-AD52-60B61D06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Pages>
  <Words>334</Words>
  <Characters>1907</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68</cp:revision>
  <cp:lastPrinted>2013-04-01T04:20:00Z</cp:lastPrinted>
  <dcterms:created xsi:type="dcterms:W3CDTF">2020-08-07T03:02:00Z</dcterms:created>
  <dcterms:modified xsi:type="dcterms:W3CDTF">2020-10-23T11:30:00Z</dcterms:modified>
</cp:coreProperties>
</file>